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9" w:rsidRPr="0045521E" w:rsidRDefault="0045521E" w:rsidP="0045521E">
      <w:pPr>
        <w:pStyle w:val="a3"/>
        <w:jc w:val="center"/>
        <w:rPr>
          <w:b/>
          <w:szCs w:val="24"/>
        </w:rPr>
      </w:pPr>
      <w:r w:rsidRPr="0045521E">
        <w:rPr>
          <w:b/>
          <w:szCs w:val="24"/>
        </w:rPr>
        <w:t>ИНСТРУКЦИЯ ПО ОХРАНЕ ТРУДА</w:t>
      </w:r>
    </w:p>
    <w:p w:rsidR="009A5C9D" w:rsidRPr="00F1012D" w:rsidRDefault="0045521E" w:rsidP="00F1012D">
      <w:pPr>
        <w:pStyle w:val="1"/>
        <w:ind w:left="0" w:right="79" w:firstLine="0"/>
        <w:contextualSpacing/>
        <w:jc w:val="center"/>
        <w:rPr>
          <w:b/>
          <w:bCs/>
          <w:i/>
          <w:szCs w:val="24"/>
        </w:rPr>
      </w:pPr>
      <w:r w:rsidRPr="0045521E">
        <w:rPr>
          <w:b/>
          <w:bCs/>
          <w:szCs w:val="24"/>
        </w:rPr>
        <w:t>ДЛЯ ДИСПЕТЧЕРА</w:t>
      </w:r>
      <w:r w:rsidR="00F1012D" w:rsidRPr="00F1012D">
        <w:rPr>
          <w:szCs w:val="24"/>
        </w:rPr>
        <w:t xml:space="preserve"> </w:t>
      </w:r>
      <w:r w:rsidR="00F1012D" w:rsidRPr="00F1012D">
        <w:rPr>
          <w:b/>
          <w:szCs w:val="24"/>
        </w:rPr>
        <w:t>АВТОМОБИЛЬНОГО ТРАНСПОРТА</w:t>
      </w:r>
    </w:p>
    <w:p w:rsidR="00E043F9" w:rsidRPr="00E043F9" w:rsidRDefault="00AB5E5F" w:rsidP="0045521E">
      <w:pPr>
        <w:pStyle w:val="1"/>
        <w:tabs>
          <w:tab w:val="left" w:pos="-993"/>
        </w:tabs>
        <w:spacing w:before="240" w:after="120"/>
        <w:ind w:left="0" w:firstLine="0"/>
        <w:jc w:val="center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 xml:space="preserve">1. </w:t>
      </w:r>
      <w:r w:rsidR="0045521E">
        <w:rPr>
          <w:b/>
          <w:bCs/>
          <w:kern w:val="32"/>
          <w:szCs w:val="24"/>
        </w:rPr>
        <w:t>ОБЩИЕ ТРЕБОВАНИЯ ОХРАНЫ</w:t>
      </w:r>
      <w:r w:rsidR="00E043F9" w:rsidRPr="00E043F9">
        <w:rPr>
          <w:b/>
          <w:bCs/>
          <w:kern w:val="32"/>
          <w:szCs w:val="24"/>
        </w:rPr>
        <w:t xml:space="preserve"> ТРУДА</w:t>
      </w:r>
    </w:p>
    <w:p w:rsidR="00C43507" w:rsidRPr="00C43507" w:rsidRDefault="00C43507" w:rsidP="0045521E">
      <w:pPr>
        <w:pStyle w:val="a7"/>
        <w:numPr>
          <w:ilvl w:val="1"/>
          <w:numId w:val="33"/>
        </w:numPr>
        <w:ind w:left="0" w:firstLine="284"/>
        <w:jc w:val="both"/>
        <w:rPr>
          <w:szCs w:val="24"/>
        </w:rPr>
      </w:pPr>
      <w:r>
        <w:t xml:space="preserve">К </w:t>
      </w:r>
      <w:r w:rsidRPr="00C43507">
        <w:rPr>
          <w:szCs w:val="24"/>
        </w:rPr>
        <w:t>работе диспетчером</w:t>
      </w:r>
      <w:r w:rsidR="0045521E">
        <w:rPr>
          <w:szCs w:val="24"/>
        </w:rPr>
        <w:t xml:space="preserve"> автомобильного транспорта (далее - диспетчер)</w:t>
      </w:r>
      <w:r w:rsidRPr="00C43507">
        <w:rPr>
          <w:szCs w:val="24"/>
        </w:rPr>
        <w:t xml:space="preserve"> допускается специалист, имеющий соответствующую выполняемой работе квалификацию, прошедший вводный и первичный на рабочем месте инструктажи по охране труда, обучение и проверку знаний требований охраны труда.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Для выполнения работ с применением технических средств обработки и передачи информации диспетчер должен изучить Инструкцию по эксплуатации применяемого оборудования, пройти специальный инструктаж и получить группу </w:t>
      </w:r>
      <w:r w:rsidRPr="00C43507">
        <w:rPr>
          <w:sz w:val="24"/>
          <w:szCs w:val="24"/>
          <w:lang w:val="en-US"/>
        </w:rPr>
        <w:t>I</w:t>
      </w:r>
      <w:r w:rsidRPr="00C43507">
        <w:rPr>
          <w:sz w:val="24"/>
          <w:szCs w:val="24"/>
        </w:rPr>
        <w:t xml:space="preserve"> по электробезопасности.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Диспетчер, допущенный к постоянной работе на персональном компьютере (более 50 % рабочего времени) перед поступлением на работу и в дальнейшем периодически (не реже 1 раза в год) должен проходить медицинские осмотры.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Женщины со времени установления беременности должны быть переведены на работы, не связанные с использованием персональных компьютеров, или для них должно быть ограничено время работы с персональным компьютером (не более 3-х часов за рабочую смену).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Диспетчер, независимо от квалификации и стажа работы, не реже одного раза в шесть месяцев должен проходить повторный инструктаж по охране труда; в случае нарушения им требований охраны труда, а также при перерыве в работе более чем на 30 календарных дней, он должен пройти внеплановый инструктаж.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Диспетчер, допущенный к самостоятельной работе, должен знать: </w:t>
      </w:r>
      <w:r w:rsidR="0045521E">
        <w:rPr>
          <w:sz w:val="24"/>
          <w:szCs w:val="24"/>
        </w:rPr>
        <w:t>п</w:t>
      </w:r>
      <w:r w:rsidRPr="00C43507">
        <w:rPr>
          <w:sz w:val="24"/>
          <w:szCs w:val="24"/>
        </w:rPr>
        <w:t>равила эксплуатации средств вычислительной техники.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 должен выполнять только те работы, которые ему поручены в установленном порядке; не следует пользоваться инструментом, приспособлениями и оборудованием, с которыми он не имеет навыков безопасного обращения.</w:t>
      </w:r>
    </w:p>
    <w:p w:rsidR="00C43507" w:rsidRPr="00C43507" w:rsidRDefault="00C43507" w:rsidP="0045521E">
      <w:pPr>
        <w:numPr>
          <w:ilvl w:val="1"/>
          <w:numId w:val="33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Диспетчер, направленный для участия в несвойственных его должности работах, должен пройти целевой инструктаж по безопасному выполнению предстоящих работ.</w:t>
      </w:r>
    </w:p>
    <w:p w:rsidR="00C43507" w:rsidRPr="00C43507" w:rsidRDefault="00C43507" w:rsidP="0045521E">
      <w:pPr>
        <w:pStyle w:val="a7"/>
        <w:numPr>
          <w:ilvl w:val="1"/>
          <w:numId w:val="33"/>
        </w:numPr>
        <w:ind w:left="0" w:firstLine="284"/>
        <w:rPr>
          <w:szCs w:val="24"/>
        </w:rPr>
      </w:pPr>
      <w:r w:rsidRPr="00C43507">
        <w:rPr>
          <w:szCs w:val="24"/>
        </w:rPr>
        <w:t>Во время работы на диспетчера могут оказывать неблагоприятное воздействие, в основном, следующие опасные и вредные производственные факторы: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ионизирующие и неионизирующие излучения, источниками которых являются мониторы персональных компьютеров;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перенапряжение слухового анализатора при приёме и передаче информации;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перенапряжение зрительного анализатора при работе за экраном монитора персонального компьютера;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недостаточная освещённость рабочего места;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электрический ток, путь которого в случае замыкания может пройти через тело человека.</w:t>
      </w:r>
    </w:p>
    <w:p w:rsidR="00C43507" w:rsidRPr="0045521E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</w:pPr>
      <w:r w:rsidRPr="0045521E">
        <w:t>Для предупреждения возможности возникновения пожара диспетчер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отведённых для этого местах.</w:t>
      </w:r>
    </w:p>
    <w:p w:rsidR="00C43507" w:rsidRPr="0045521E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</w:pPr>
      <w:r w:rsidRPr="0045521E">
        <w:t>Диспетчер обязан соблюдать трудовую и производственную дисциплину, правила внутреннего трудового распорядка, установленный для него режим труда и отдыха.</w:t>
      </w:r>
    </w:p>
    <w:p w:rsidR="00C43507" w:rsidRPr="0045521E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</w:pPr>
      <w:r w:rsidRPr="0045521E">
        <w:t>Для предупреждения возможности заболеваний диспетчеру следует соблюдать правила личной гигиены, в том числе, перед приёмом пищи необходимо тщательно мыть руки с мылом.</w:t>
      </w:r>
    </w:p>
    <w:p w:rsidR="00C43507" w:rsidRPr="0045521E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</w:pPr>
      <w:r w:rsidRPr="0045521E">
        <w:lastRenderedPageBreak/>
        <w:t>В случае заболевания, плохого самочувствия, недостаточного отдыха следует сообщить о своём состоянии непосредственному руководителю и обратиться за медицинской помощью.</w:t>
      </w:r>
    </w:p>
    <w:p w:rsidR="00C43507" w:rsidRPr="0045521E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</w:pPr>
      <w:r w:rsidRPr="0045521E">
        <w:t>Если с кем-либо из работников произошёл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создаёт опасности для окружающих.</w:t>
      </w:r>
    </w:p>
    <w:p w:rsidR="00C43507" w:rsidRPr="0045521E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</w:pPr>
      <w:r w:rsidRPr="0045521E">
        <w:t>Диспетчер должен уметь оказать первую помощь, в том числе, при поражении электрическим током, пользоваться медицинской аптечкой.</w:t>
      </w:r>
    </w:p>
    <w:p w:rsidR="00C43507" w:rsidRPr="00C43507" w:rsidRDefault="00C43507" w:rsidP="0045521E">
      <w:pPr>
        <w:pStyle w:val="a7"/>
        <w:numPr>
          <w:ilvl w:val="1"/>
          <w:numId w:val="33"/>
        </w:numPr>
        <w:tabs>
          <w:tab w:val="left" w:pos="851"/>
        </w:tabs>
        <w:ind w:left="0" w:firstLine="284"/>
        <w:jc w:val="both"/>
        <w:rPr>
          <w:szCs w:val="24"/>
        </w:rPr>
      </w:pPr>
      <w:r w:rsidRPr="0045521E">
        <w:t>Диспетчер,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привлечён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</w:t>
      </w:r>
      <w:r w:rsidRPr="00C43507">
        <w:rPr>
          <w:szCs w:val="24"/>
        </w:rPr>
        <w:t xml:space="preserve"> материальной ответственности в установленном порядке.</w:t>
      </w:r>
    </w:p>
    <w:p w:rsidR="00C43507" w:rsidRPr="00C43507" w:rsidRDefault="00C43507" w:rsidP="0045521E">
      <w:pPr>
        <w:spacing w:before="240" w:after="120"/>
        <w:jc w:val="center"/>
        <w:rPr>
          <w:b/>
          <w:sz w:val="24"/>
          <w:szCs w:val="24"/>
        </w:rPr>
      </w:pPr>
      <w:r w:rsidRPr="00C43507">
        <w:rPr>
          <w:b/>
          <w:sz w:val="24"/>
          <w:szCs w:val="24"/>
        </w:rPr>
        <w:t>2. ТРЕБОВАНИЯ ОХРАНЫ ТРУДА ПЕРЕД НАЧАЛОМ РАБОТЫ</w:t>
      </w:r>
    </w:p>
    <w:p w:rsidR="00FD7E83" w:rsidRPr="00FD7E83" w:rsidRDefault="00FD7E83" w:rsidP="00FD7E83">
      <w:pPr>
        <w:pStyle w:val="ad"/>
        <w:numPr>
          <w:ilvl w:val="0"/>
          <w:numId w:val="35"/>
        </w:numPr>
        <w:overflowPunct/>
        <w:autoSpaceDE/>
        <w:autoSpaceDN/>
        <w:adjustRightInd/>
        <w:ind w:right="-1"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0"/>
          <w:numId w:val="35"/>
        </w:numPr>
        <w:overflowPunct/>
        <w:autoSpaceDE/>
        <w:autoSpaceDN/>
        <w:adjustRightInd/>
        <w:ind w:right="-1"/>
        <w:contextualSpacing w:val="0"/>
        <w:jc w:val="both"/>
        <w:rPr>
          <w:vanish/>
          <w:color w:val="auto"/>
          <w:sz w:val="24"/>
          <w:szCs w:val="24"/>
        </w:rPr>
      </w:pPr>
    </w:p>
    <w:p w:rsidR="00C43507" w:rsidRPr="00C43507" w:rsidRDefault="00C43507" w:rsidP="00FD7E83">
      <w:pPr>
        <w:pStyle w:val="a7"/>
        <w:numPr>
          <w:ilvl w:val="1"/>
          <w:numId w:val="35"/>
        </w:numPr>
        <w:ind w:left="0" w:firstLine="284"/>
        <w:jc w:val="both"/>
        <w:rPr>
          <w:szCs w:val="24"/>
        </w:rPr>
      </w:pPr>
      <w:r w:rsidRPr="00C43507">
        <w:rPr>
          <w:szCs w:val="24"/>
        </w:rPr>
        <w:t>Перед началом работы диспетчеру следует рационально организовать своё рабочее место.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Для того чтобы в процессе работы не возникало перенапряжение зрительного анализатора, следует проверить, чтобы на рабочем месте была нормальная освещённость, не было бликов света.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 должен убрать с рабочего места все лишние предметы, не используемые в работе.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При использовании в работе персонального компьютера диспетчер должен знать о том, что, если в помещении расположены несколько персональных компьютеров, то для обеспечения безопасности расстояние между ними должно быть не менее </w:t>
      </w:r>
      <w:smartTag w:uri="urn:schemas-microsoft-com:office:smarttags" w:element="metricconverter">
        <w:smartTagPr>
          <w:attr w:name="ProductID" w:val="1,5 м"/>
        </w:smartTagPr>
        <w:r w:rsidRPr="00C43507">
          <w:rPr>
            <w:sz w:val="24"/>
            <w:szCs w:val="24"/>
          </w:rPr>
          <w:t>1,5 м</w:t>
        </w:r>
      </w:smartTag>
      <w:r w:rsidRPr="00C43507">
        <w:rPr>
          <w:sz w:val="24"/>
          <w:szCs w:val="24"/>
        </w:rPr>
        <w:t>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 должен знать о том, что взаимное расположение персональных компьютеров влияет на уровень генерируемых ими излучений; для предупреждения облучения других рабочих мест следует выполнять следующие правила:</w:t>
      </w:r>
    </w:p>
    <w:p w:rsidR="00FD7E83" w:rsidRPr="00FD7E83" w:rsidRDefault="00FD7E83" w:rsidP="00FD7E83">
      <w:pPr>
        <w:pStyle w:val="ad"/>
        <w:numPr>
          <w:ilvl w:val="0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0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1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1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1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1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FD7E83" w:rsidRPr="00FD7E83" w:rsidRDefault="00FD7E83" w:rsidP="00FD7E83">
      <w:pPr>
        <w:pStyle w:val="ad"/>
        <w:numPr>
          <w:ilvl w:val="1"/>
          <w:numId w:val="36"/>
        </w:numPr>
        <w:overflowPunct/>
        <w:autoSpaceDE/>
        <w:autoSpaceDN/>
        <w:adjustRightInd/>
        <w:contextualSpacing w:val="0"/>
        <w:jc w:val="both"/>
        <w:rPr>
          <w:vanish/>
          <w:color w:val="auto"/>
          <w:sz w:val="24"/>
          <w:szCs w:val="24"/>
        </w:rPr>
      </w:pPr>
    </w:p>
    <w:p w:rsidR="00C43507" w:rsidRPr="00C43507" w:rsidRDefault="00C43507" w:rsidP="00FD7E83">
      <w:pPr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Левая панель персонального компьютера должна быть обращена либо к стене, либо к проходу, где нет рабочих мест.</w:t>
      </w:r>
    </w:p>
    <w:p w:rsidR="00C43507" w:rsidRPr="00C43507" w:rsidRDefault="00C43507" w:rsidP="00FD7E83">
      <w:pPr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Не следует располагать персональные компьютеры экранами друг к другу.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Не рекомендуется располагать персональный компьютер экраном к окну.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Для повышения контрастности изображения, перед началом работы диспетчер должен очистить экран персонального компьютера от пыли, которая интенсивно оседает на нём под воздействием зарядов статического электричества.</w:t>
      </w:r>
    </w:p>
    <w:p w:rsidR="00C43507" w:rsidRPr="00C43507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Перед началом работы следует визуально проверить исправность электропроводки, вилки, розетки, а также электрических подсоединений между собой всех устройств, расположенных на рабочем месте.</w:t>
      </w:r>
    </w:p>
    <w:p w:rsidR="00C43507" w:rsidRPr="00FD7E83" w:rsidRDefault="00C43507" w:rsidP="00FD7E83">
      <w:pPr>
        <w:numPr>
          <w:ilvl w:val="1"/>
          <w:numId w:val="35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 должен лично убедиться в том, что все меры, необходимые для обеспечения безопасности предстоящей работы выполнены.</w:t>
      </w:r>
    </w:p>
    <w:p w:rsidR="00C43507" w:rsidRPr="00C43507" w:rsidRDefault="00C43507" w:rsidP="0045521E">
      <w:pPr>
        <w:spacing w:before="240" w:after="120"/>
        <w:jc w:val="center"/>
        <w:rPr>
          <w:b/>
          <w:sz w:val="24"/>
          <w:szCs w:val="24"/>
        </w:rPr>
      </w:pPr>
      <w:r w:rsidRPr="00C43507">
        <w:rPr>
          <w:b/>
          <w:sz w:val="24"/>
          <w:szCs w:val="24"/>
        </w:rPr>
        <w:t>3. ТРЕБОВАНИЯ ОХРАНЫ ТРУДА ВО ВРЕМЯ РАБОТЫ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Во время работы диспетчер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Во время работы диспетчеру следует быть внимательным, не отвлекаться от выполнения своих обязанностей.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Диспетчеру следует проявлять осторожность при передвижении по территории организации.</w:t>
      </w:r>
    </w:p>
    <w:p w:rsidR="00C43507" w:rsidRPr="00C43507" w:rsidRDefault="00C43507" w:rsidP="00FD7E83">
      <w:pPr>
        <w:pStyle w:val="a7"/>
        <w:numPr>
          <w:ilvl w:val="0"/>
          <w:numId w:val="37"/>
        </w:numPr>
        <w:ind w:left="0" w:firstLine="284"/>
        <w:jc w:val="both"/>
        <w:rPr>
          <w:szCs w:val="24"/>
        </w:rPr>
      </w:pPr>
      <w:r w:rsidRPr="00C43507">
        <w:rPr>
          <w:szCs w:val="24"/>
        </w:rPr>
        <w:t xml:space="preserve">При передвижении по территории следует обращать внимание на неровности на поверхности и скользкие места, остерегаться падения из-за </w:t>
      </w:r>
      <w:proofErr w:type="spellStart"/>
      <w:r w:rsidRPr="00C43507">
        <w:rPr>
          <w:szCs w:val="24"/>
        </w:rPr>
        <w:t>поскальзывания</w:t>
      </w:r>
      <w:proofErr w:type="spellEnd"/>
      <w:r w:rsidRPr="00C43507">
        <w:rPr>
          <w:szCs w:val="24"/>
        </w:rPr>
        <w:t>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Диспетчер должен знать, что рациональная рабочая поза способствует уменьшению утомляемости.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При использовании в работе персонального компьютера монитор при помощи поворотной площадки должен быть отрегулирован в соответствии с рабочей позой диспетчера.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Конструкция рабочего стула (кресла) должна обеспечивать поддержание рабочей позы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Тип рабочего стула (кресла) должен выбираться в зависимости от характера и продолжительности работы с персональным компьютером с учётом роста диспетчера.</w:t>
      </w:r>
    </w:p>
    <w:p w:rsidR="00C43507" w:rsidRPr="00C43507" w:rsidRDefault="00C43507" w:rsidP="00FD7E83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Рабочий стул (кресло) должен быть подъёмно-поворотным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надёжную фиксацию.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лёгкую очистку от загрязнений.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Плоскость рабочего стола должна быть регулируемой по высоте в пределах 680 - </w:t>
      </w:r>
      <w:smartTag w:uri="urn:schemas-microsoft-com:office:smarttags" w:element="metricconverter">
        <w:smartTagPr>
          <w:attr w:name="ProductID" w:val="800 мм"/>
        </w:smartTagPr>
        <w:r w:rsidRPr="00C43507">
          <w:rPr>
            <w:sz w:val="24"/>
            <w:szCs w:val="24"/>
          </w:rPr>
          <w:t>800 мм</w:t>
        </w:r>
      </w:smartTag>
      <w:r w:rsidRPr="00C43507">
        <w:rPr>
          <w:sz w:val="24"/>
          <w:szCs w:val="24"/>
        </w:rPr>
        <w:t xml:space="preserve"> с учётом индивидуальных особенностей диспетчера; при отсутствии такой возможности,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C43507">
          <w:rPr>
            <w:sz w:val="24"/>
            <w:szCs w:val="24"/>
          </w:rPr>
          <w:t>725 мм</w:t>
        </w:r>
      </w:smartTag>
      <w:r w:rsidRPr="00C43507">
        <w:rPr>
          <w:sz w:val="24"/>
          <w:szCs w:val="24"/>
        </w:rPr>
        <w:t>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C43507">
          <w:rPr>
            <w:sz w:val="24"/>
            <w:szCs w:val="24"/>
          </w:rPr>
          <w:t>600 мм</w:t>
        </w:r>
      </w:smartTag>
      <w:r w:rsidRPr="00C43507">
        <w:rPr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C43507">
          <w:rPr>
            <w:sz w:val="24"/>
            <w:szCs w:val="24"/>
          </w:rPr>
          <w:t>500 мм</w:t>
        </w:r>
      </w:smartTag>
      <w:r w:rsidRPr="00C43507">
        <w:rPr>
          <w:sz w:val="24"/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C43507">
          <w:rPr>
            <w:sz w:val="24"/>
            <w:szCs w:val="24"/>
          </w:rPr>
          <w:t>450 мм</w:t>
        </w:r>
      </w:smartTag>
      <w:r w:rsidRPr="00C43507">
        <w:rPr>
          <w:sz w:val="24"/>
          <w:szCs w:val="24"/>
        </w:rPr>
        <w:t xml:space="preserve"> и на уровне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C43507">
          <w:rPr>
            <w:sz w:val="24"/>
            <w:szCs w:val="24"/>
          </w:rPr>
          <w:t>650 мм</w:t>
        </w:r>
      </w:smartTag>
      <w:r w:rsidRPr="00C43507">
        <w:rPr>
          <w:sz w:val="24"/>
          <w:szCs w:val="24"/>
        </w:rPr>
        <w:t>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Конструкция рабочего стула (кресла) должна обеспечивать: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ширину и глубину поверхности сиденья не менее </w:t>
      </w:r>
      <w:smartTag w:uri="urn:schemas-microsoft-com:office:smarttags" w:element="metricconverter">
        <w:smartTagPr>
          <w:attr w:name="ProductID" w:val="400 мм"/>
        </w:smartTagPr>
        <w:r w:rsidRPr="00C43507">
          <w:rPr>
            <w:sz w:val="24"/>
            <w:szCs w:val="24"/>
          </w:rPr>
          <w:t>400 мм</w:t>
        </w:r>
      </w:smartTag>
      <w:r w:rsidRPr="00C43507">
        <w:rPr>
          <w:sz w:val="24"/>
          <w:szCs w:val="24"/>
        </w:rPr>
        <w:t>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поверхность сиденья с закруглённым передним краем;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регулировку высоты поверхности сиденья в пределах 400-</w:t>
      </w:r>
      <w:smartTag w:uri="urn:schemas-microsoft-com:office:smarttags" w:element="metricconverter">
        <w:smartTagPr>
          <w:attr w:name="ProductID" w:val="550 мм"/>
        </w:smartTagPr>
        <w:r w:rsidRPr="00C43507">
          <w:rPr>
            <w:sz w:val="24"/>
            <w:szCs w:val="24"/>
          </w:rPr>
          <w:t>550 мм</w:t>
        </w:r>
      </w:smartTag>
      <w:r w:rsidRPr="00C43507">
        <w:rPr>
          <w:sz w:val="24"/>
          <w:szCs w:val="24"/>
        </w:rPr>
        <w:t xml:space="preserve"> и углам наклона вперёд до 15º и назад до 5º;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высоту опорной поверхности спинки 300 + </w:t>
      </w:r>
      <w:smartTag w:uri="urn:schemas-microsoft-com:office:smarttags" w:element="metricconverter">
        <w:smartTagPr>
          <w:attr w:name="ProductID" w:val="20 мм"/>
        </w:smartTagPr>
        <w:r w:rsidRPr="00C43507">
          <w:rPr>
            <w:sz w:val="24"/>
            <w:szCs w:val="24"/>
          </w:rPr>
          <w:t>20 мм</w:t>
        </w:r>
      </w:smartTag>
      <w:r w:rsidRPr="00C43507">
        <w:rPr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380 мм"/>
        </w:smartTagPr>
        <w:r w:rsidRPr="00C43507">
          <w:rPr>
            <w:sz w:val="24"/>
            <w:szCs w:val="24"/>
          </w:rPr>
          <w:t>380 мм</w:t>
        </w:r>
      </w:smartTag>
      <w:r w:rsidRPr="00C43507">
        <w:rPr>
          <w:sz w:val="24"/>
          <w:szCs w:val="24"/>
        </w:rPr>
        <w:t xml:space="preserve"> и радиус кривизны горизонтальной плоскости - </w:t>
      </w:r>
      <w:smartTag w:uri="urn:schemas-microsoft-com:office:smarttags" w:element="metricconverter">
        <w:smartTagPr>
          <w:attr w:name="ProductID" w:val="400 мм"/>
        </w:smartTagPr>
        <w:r w:rsidRPr="00C43507">
          <w:rPr>
            <w:sz w:val="24"/>
            <w:szCs w:val="24"/>
          </w:rPr>
          <w:t>400 мм</w:t>
        </w:r>
      </w:smartTag>
      <w:r w:rsidRPr="00C43507">
        <w:rPr>
          <w:sz w:val="24"/>
          <w:szCs w:val="24"/>
        </w:rPr>
        <w:t>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угол наклона спинки в вертикальной плоскости в пределах 0 + 30º;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регулировку расстояния спинки от переднего края сиденья в пределах 260-</w:t>
      </w:r>
      <w:smartTag w:uri="urn:schemas-microsoft-com:office:smarttags" w:element="metricconverter">
        <w:smartTagPr>
          <w:attr w:name="ProductID" w:val="400 мм"/>
        </w:smartTagPr>
        <w:r w:rsidRPr="00C43507">
          <w:rPr>
            <w:sz w:val="24"/>
            <w:szCs w:val="24"/>
          </w:rPr>
          <w:t>400 мм</w:t>
        </w:r>
      </w:smartTag>
      <w:r w:rsidRPr="00C43507">
        <w:rPr>
          <w:sz w:val="24"/>
          <w:szCs w:val="24"/>
        </w:rPr>
        <w:t>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стационарные или съёмные подлокотники длиной не менее </w:t>
      </w:r>
      <w:smartTag w:uri="urn:schemas-microsoft-com:office:smarttags" w:element="metricconverter">
        <w:smartTagPr>
          <w:attr w:name="ProductID" w:val="250 мм"/>
        </w:smartTagPr>
        <w:r w:rsidRPr="00C43507">
          <w:rPr>
            <w:sz w:val="24"/>
            <w:szCs w:val="24"/>
          </w:rPr>
          <w:t>250 мм</w:t>
        </w:r>
      </w:smartTag>
      <w:r w:rsidRPr="00C43507">
        <w:rPr>
          <w:sz w:val="24"/>
          <w:szCs w:val="24"/>
        </w:rPr>
        <w:t xml:space="preserve"> и шириной - 50-</w:t>
      </w:r>
      <w:smartTag w:uri="urn:schemas-microsoft-com:office:smarttags" w:element="metricconverter">
        <w:smartTagPr>
          <w:attr w:name="ProductID" w:val="70 мм"/>
        </w:smartTagPr>
        <w:r w:rsidRPr="00C43507">
          <w:rPr>
            <w:sz w:val="24"/>
            <w:szCs w:val="24"/>
          </w:rPr>
          <w:t>70 мм</w:t>
        </w:r>
      </w:smartTag>
      <w:r w:rsidRPr="00C43507">
        <w:rPr>
          <w:sz w:val="24"/>
          <w:szCs w:val="24"/>
        </w:rPr>
        <w:t>;</w:t>
      </w:r>
    </w:p>
    <w:p w:rsidR="00C43507" w:rsidRPr="00C43507" w:rsidRDefault="00C43507" w:rsidP="0045521E">
      <w:pPr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регулировку подлокотников по высоте над сиденьем в пределах 230 + </w:t>
      </w:r>
      <w:smartTag w:uri="urn:schemas-microsoft-com:office:smarttags" w:element="metricconverter">
        <w:smartTagPr>
          <w:attr w:name="ProductID" w:val="30 мм"/>
        </w:smartTagPr>
        <w:r w:rsidRPr="00C43507">
          <w:rPr>
            <w:sz w:val="24"/>
            <w:szCs w:val="24"/>
          </w:rPr>
          <w:t>30 мм</w:t>
        </w:r>
      </w:smartTag>
      <w:r w:rsidRPr="00C43507">
        <w:rPr>
          <w:sz w:val="24"/>
          <w:szCs w:val="24"/>
        </w:rPr>
        <w:t xml:space="preserve"> и внутреннего расстояния между подлокотниками в пределах 350-</w:t>
      </w:r>
      <w:smartTag w:uri="urn:schemas-microsoft-com:office:smarttags" w:element="metricconverter">
        <w:smartTagPr>
          <w:attr w:name="ProductID" w:val="500 мм"/>
        </w:smartTagPr>
        <w:r w:rsidRPr="00C43507">
          <w:rPr>
            <w:sz w:val="24"/>
            <w:szCs w:val="24"/>
          </w:rPr>
          <w:t>500 мм</w:t>
        </w:r>
      </w:smartTag>
      <w:r w:rsidRPr="00C43507">
        <w:rPr>
          <w:sz w:val="24"/>
          <w:szCs w:val="24"/>
        </w:rPr>
        <w:t>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Рабочее место диспетчера, использующего персональный компьютер, следует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C43507">
          <w:rPr>
            <w:sz w:val="24"/>
            <w:szCs w:val="24"/>
          </w:rPr>
          <w:t>300 мм</w:t>
        </w:r>
      </w:smartTag>
      <w:r w:rsidRPr="00C43507">
        <w:rPr>
          <w:sz w:val="24"/>
          <w:szCs w:val="24"/>
        </w:rPr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 w:rsidRPr="00C43507">
          <w:rPr>
            <w:sz w:val="24"/>
            <w:szCs w:val="24"/>
          </w:rPr>
          <w:t>400 мм</w:t>
        </w:r>
      </w:smartTag>
      <w:r w:rsidRPr="00C43507">
        <w:rPr>
          <w:sz w:val="24"/>
          <w:szCs w:val="24"/>
        </w:rPr>
        <w:t xml:space="preserve">, регулировку по высоте в пределах до </w:t>
      </w:r>
      <w:smartTag w:uri="urn:schemas-microsoft-com:office:smarttags" w:element="metricconverter">
        <w:smartTagPr>
          <w:attr w:name="ProductID" w:val="150 мм"/>
        </w:smartTagPr>
        <w:r w:rsidRPr="00C43507">
          <w:rPr>
            <w:sz w:val="24"/>
            <w:szCs w:val="24"/>
          </w:rPr>
          <w:t>150 мм</w:t>
        </w:r>
      </w:smartTag>
      <w:r w:rsidRPr="00C43507">
        <w:rPr>
          <w:sz w:val="24"/>
          <w:szCs w:val="24"/>
        </w:rPr>
        <w:t xml:space="preserve"> и по углу наклона опорной поверхности подставки до 200.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Поверхность подставки должна быть рифлёной и иметь по переднему краю бортик высотой </w:t>
      </w:r>
      <w:smartTag w:uri="urn:schemas-microsoft-com:office:smarttags" w:element="metricconverter">
        <w:smartTagPr>
          <w:attr w:name="ProductID" w:val="10 мм"/>
        </w:smartTagPr>
        <w:r w:rsidRPr="00C43507">
          <w:rPr>
            <w:sz w:val="24"/>
            <w:szCs w:val="24"/>
          </w:rPr>
          <w:t>10 мм</w:t>
        </w:r>
      </w:smartTag>
      <w:r w:rsidRPr="00C43507">
        <w:rPr>
          <w:sz w:val="24"/>
          <w:szCs w:val="24"/>
        </w:rPr>
        <w:t>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Клавиатуру следует располагать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Pr="00C43507">
          <w:rPr>
            <w:sz w:val="24"/>
            <w:szCs w:val="24"/>
          </w:rPr>
          <w:t>300 мм</w:t>
        </w:r>
      </w:smartTag>
      <w:r w:rsidRPr="00C43507">
        <w:rPr>
          <w:sz w:val="24"/>
          <w:szCs w:val="24"/>
        </w:rPr>
        <w:t xml:space="preserve"> от края, обращённого к диспетчеру или на специальной, регулируемой по высоте рабочей поверхности, отделённой от основной столешницы.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Экран видеомонитора должен находиться от глаз диспетчера на оптимальном расстоянии 600-</w:t>
      </w:r>
      <w:smartTag w:uri="urn:schemas-microsoft-com:office:smarttags" w:element="metricconverter">
        <w:smartTagPr>
          <w:attr w:name="ProductID" w:val="700 мм"/>
        </w:smartTagPr>
        <w:r w:rsidRPr="00C43507">
          <w:rPr>
            <w:sz w:val="24"/>
            <w:szCs w:val="24"/>
          </w:rPr>
          <w:t>700 мм</w:t>
        </w:r>
      </w:smartTag>
      <w:r w:rsidRPr="00C43507"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C43507">
          <w:rPr>
            <w:sz w:val="24"/>
            <w:szCs w:val="24"/>
          </w:rPr>
          <w:t>500 мм</w:t>
        </w:r>
      </w:smartTag>
      <w:r w:rsidRPr="00C43507">
        <w:rPr>
          <w:sz w:val="24"/>
          <w:szCs w:val="24"/>
        </w:rPr>
        <w:t xml:space="preserve"> с учётом размеров алфавитно-цифровых знаков и символов.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светло-зелёный, жёлто-зелёный, жёлто-оранжевый, жёлто-коричневый; по возможности следует избегать насыщенных цветов, особенно красного, синего, ярко-зелёного.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Для уменьшения зрительной утомляемости диспетчеру предпочтительнее работать в таком режиме, чтобы на светлом экране видеомонитора были тёмные символы.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С целью снижения зрительного и костно-мышечного утомления диспетчеру следует соблюдать установленный режим труда и отдыха.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Во время регламентированных перерывов, для снижения нервно-эмоционального напряжения, снятия утомления, диспетчеру рекомендуется выполнять комплекс физических упражнений.</w:t>
      </w:r>
    </w:p>
    <w:p w:rsidR="00C43507" w:rsidRPr="00C43507" w:rsidRDefault="00C43507" w:rsidP="00FD7E83">
      <w:pPr>
        <w:numPr>
          <w:ilvl w:val="0"/>
          <w:numId w:val="3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Продолжительность непрерывной работы с компьютером без регламентированного перерыва не должна превышать 2-х часов.</w:t>
      </w:r>
    </w:p>
    <w:p w:rsidR="00C43507" w:rsidRPr="00C43507" w:rsidRDefault="00C43507" w:rsidP="0045521E">
      <w:pPr>
        <w:spacing w:before="240" w:after="120"/>
        <w:jc w:val="center"/>
        <w:rPr>
          <w:b/>
          <w:sz w:val="24"/>
          <w:szCs w:val="24"/>
        </w:rPr>
      </w:pPr>
      <w:r w:rsidRPr="00C43507">
        <w:rPr>
          <w:b/>
          <w:sz w:val="24"/>
          <w:szCs w:val="24"/>
        </w:rPr>
        <w:t>4. ТРЕБОВАНИЯ ОХРАНЫ ТРУДА В АВАРИЙНЫХ СИТУАЦИЯХ</w:t>
      </w:r>
    </w:p>
    <w:p w:rsidR="00C43507" w:rsidRPr="00C43507" w:rsidRDefault="00C43507" w:rsidP="00FD7E83">
      <w:pPr>
        <w:numPr>
          <w:ilvl w:val="0"/>
          <w:numId w:val="38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При обнаружении каких-либо неполадок в работе оборудования, персонального компьютера, сре</w:t>
      </w:r>
      <w:proofErr w:type="gramStart"/>
      <w:r w:rsidRPr="00C43507">
        <w:rPr>
          <w:sz w:val="24"/>
          <w:szCs w:val="24"/>
        </w:rPr>
        <w:t>дств св</w:t>
      </w:r>
      <w:proofErr w:type="gramEnd"/>
      <w:r w:rsidRPr="00C43507">
        <w:rPr>
          <w:sz w:val="24"/>
          <w:szCs w:val="24"/>
        </w:rPr>
        <w:t>язи (например, при появлении напряжения на нетоковедущих частях оборудования) необходимо прекратить работу, выключить оборудование, вывесить предупредительную табличку и сообщить об этом непосредственному руководителю для организации ремонта.</w:t>
      </w:r>
    </w:p>
    <w:p w:rsidR="00C43507" w:rsidRPr="00C43507" w:rsidRDefault="00C43507" w:rsidP="00FD7E83">
      <w:pPr>
        <w:numPr>
          <w:ilvl w:val="0"/>
          <w:numId w:val="38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Во избежание несчастных случаев диспетчеру не следует самому устранять технические неполадки оборудования.</w:t>
      </w:r>
    </w:p>
    <w:p w:rsidR="00C43507" w:rsidRPr="00C43507" w:rsidRDefault="00C43507" w:rsidP="00FD7E83">
      <w:pPr>
        <w:numPr>
          <w:ilvl w:val="0"/>
          <w:numId w:val="38"/>
        </w:numPr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>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C43507" w:rsidRPr="0045521E" w:rsidRDefault="00C43507" w:rsidP="00FD7E83">
      <w:pPr>
        <w:pStyle w:val="21"/>
        <w:numPr>
          <w:ilvl w:val="0"/>
          <w:numId w:val="3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C43507">
        <w:rPr>
          <w:sz w:val="24"/>
          <w:szCs w:val="24"/>
        </w:rPr>
        <w:t xml:space="preserve">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</w:t>
      </w:r>
      <w:r w:rsidRPr="0045521E">
        <w:rPr>
          <w:sz w:val="24"/>
          <w:szCs w:val="24"/>
        </w:rPr>
        <w:t xml:space="preserve">по телефону </w:t>
      </w:r>
      <w:r w:rsidR="0045521E">
        <w:rPr>
          <w:sz w:val="24"/>
          <w:szCs w:val="24"/>
        </w:rPr>
        <w:t xml:space="preserve">101 или </w:t>
      </w:r>
      <w:r w:rsidRPr="0045521E">
        <w:rPr>
          <w:sz w:val="24"/>
          <w:szCs w:val="24"/>
        </w:rPr>
        <w:t>112.</w:t>
      </w:r>
    </w:p>
    <w:p w:rsidR="00C43507" w:rsidRPr="006B1167" w:rsidRDefault="00C43507" w:rsidP="00FD7E83">
      <w:pPr>
        <w:pStyle w:val="21"/>
        <w:numPr>
          <w:ilvl w:val="0"/>
          <w:numId w:val="3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6B1167">
        <w:rPr>
          <w:sz w:val="24"/>
          <w:szCs w:val="24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C43507" w:rsidRDefault="00C43507" w:rsidP="00FD7E83">
      <w:pPr>
        <w:pStyle w:val="a7"/>
        <w:numPr>
          <w:ilvl w:val="0"/>
          <w:numId w:val="38"/>
        </w:numPr>
        <w:ind w:left="0" w:firstLine="284"/>
        <w:jc w:val="both"/>
      </w:pPr>
      <w:proofErr w:type="gramStart"/>
      <w:r>
        <w:t>При возгорании электрооборудования необходимо немедленно отключить его от электрической сети, сообщить о пожаре и приступить к тушению своими силами; при этом следует помнить, что применение средств пожаротушения, проводящих электрический ток (например, вода, пена), может привести к поражению людей электрическим током; поэтому для тушения горящего электрооборудования следует применять порошковые или углекислотные огнетушители.</w:t>
      </w:r>
      <w:proofErr w:type="gramEnd"/>
    </w:p>
    <w:p w:rsidR="00C43507" w:rsidRDefault="00C43507" w:rsidP="0045521E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5. ТРЕБОВАНИЯ ОХРАНЫ ТРУДА ПО ОКОНЧАНИИ РАБОТЫ</w:t>
      </w:r>
    </w:p>
    <w:p w:rsidR="00C43507" w:rsidRDefault="00C43507" w:rsidP="0045521E">
      <w:pPr>
        <w:pStyle w:val="a7"/>
        <w:numPr>
          <w:ilvl w:val="0"/>
          <w:numId w:val="32"/>
        </w:numPr>
        <w:tabs>
          <w:tab w:val="left" w:pos="709"/>
        </w:tabs>
        <w:ind w:left="0" w:firstLine="284"/>
        <w:jc w:val="both"/>
      </w:pPr>
      <w:r>
        <w:t>По окончании работы диспетчеру следует привести в порядок рабочее место, выключить оборудование, убрать документы</w:t>
      </w:r>
      <w:r w:rsidRPr="009D50A7">
        <w:t xml:space="preserve">, </w:t>
      </w:r>
      <w:r>
        <w:t>носители информации и т.п.</w:t>
      </w:r>
    </w:p>
    <w:p w:rsidR="0045521E" w:rsidRPr="0045521E" w:rsidRDefault="00C43507" w:rsidP="0045521E">
      <w:pPr>
        <w:numPr>
          <w:ilvl w:val="0"/>
          <w:numId w:val="32"/>
        </w:numPr>
        <w:tabs>
          <w:tab w:val="left" w:pos="709"/>
        </w:tabs>
        <w:ind w:left="0" w:firstLine="284"/>
        <w:jc w:val="both"/>
        <w:rPr>
          <w:sz w:val="24"/>
        </w:rPr>
      </w:pPr>
      <w:r>
        <w:rPr>
          <w:sz w:val="24"/>
        </w:rPr>
        <w:t>По окончании работы необходимо тщательно вымыть руки тёплой водой с мылом.</w:t>
      </w:r>
    </w:p>
    <w:p w:rsidR="00C43507" w:rsidRPr="0045521E" w:rsidRDefault="0045521E" w:rsidP="0045521E">
      <w:pPr>
        <w:numPr>
          <w:ilvl w:val="0"/>
          <w:numId w:val="32"/>
        </w:numPr>
        <w:tabs>
          <w:tab w:val="left" w:pos="709"/>
        </w:tabs>
        <w:ind w:left="0" w:firstLine="284"/>
        <w:jc w:val="both"/>
        <w:rPr>
          <w:sz w:val="24"/>
        </w:rPr>
      </w:pPr>
      <w:r w:rsidRPr="000F32F5">
        <w:rPr>
          <w:sz w:val="24"/>
          <w:szCs w:val="24"/>
        </w:rPr>
        <w:t>Обо всех замеченных в процессе работы неполадках и неисправностях</w:t>
      </w:r>
      <w:r>
        <w:rPr>
          <w:sz w:val="24"/>
          <w:szCs w:val="24"/>
        </w:rPr>
        <w:t xml:space="preserve"> оборудования</w:t>
      </w:r>
      <w:r w:rsidRPr="000F32F5">
        <w:rPr>
          <w:sz w:val="24"/>
          <w:szCs w:val="24"/>
        </w:rPr>
        <w:t>, а также о других нарушениях требований охраны труда следует сообщить своему непосредственному руководителю.</w:t>
      </w:r>
    </w:p>
    <w:p w:rsidR="00C43507" w:rsidRPr="00073BA9" w:rsidRDefault="00C43507" w:rsidP="0045521E">
      <w:pPr>
        <w:numPr>
          <w:ilvl w:val="0"/>
          <w:numId w:val="32"/>
        </w:numPr>
        <w:tabs>
          <w:tab w:val="left" w:pos="709"/>
        </w:tabs>
        <w:ind w:left="0" w:firstLine="284"/>
        <w:jc w:val="both"/>
        <w:rPr>
          <w:sz w:val="24"/>
        </w:rPr>
      </w:pPr>
      <w:r>
        <w:rPr>
          <w:sz w:val="24"/>
        </w:rPr>
        <w:t>После окончания работы, при передвижении по территории организации</w:t>
      </w:r>
      <w:r w:rsidRPr="00E81DDF">
        <w:rPr>
          <w:sz w:val="24"/>
        </w:rPr>
        <w:t>,</w:t>
      </w:r>
      <w:r>
        <w:rPr>
          <w:sz w:val="24"/>
        </w:rPr>
        <w:t xml:space="preserve"> следует соблюдать осторожность, особенно в условиях неудовлетворительного состояния покрытия (в снег, гололёд и др.).</w:t>
      </w:r>
    </w:p>
    <w:p w:rsidR="0061511D" w:rsidRPr="0061511D" w:rsidRDefault="0061511D" w:rsidP="0045521E">
      <w:pPr>
        <w:tabs>
          <w:tab w:val="left" w:pos="709"/>
        </w:tabs>
        <w:ind w:firstLine="284"/>
        <w:jc w:val="both"/>
        <w:rPr>
          <w:szCs w:val="24"/>
        </w:rPr>
      </w:pPr>
    </w:p>
    <w:p w:rsidR="0045521E" w:rsidRDefault="0045521E" w:rsidP="0045521E">
      <w:pPr>
        <w:jc w:val="center"/>
        <w:rPr>
          <w:b/>
          <w:sz w:val="24"/>
          <w:szCs w:val="24"/>
        </w:rPr>
      </w:pPr>
    </w:p>
    <w:p w:rsidR="0045521E" w:rsidRDefault="0045521E" w:rsidP="0045521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62611" w:rsidRDefault="00262611" w:rsidP="0045521E">
      <w:pPr>
        <w:jc w:val="center"/>
        <w:rPr>
          <w:b/>
          <w:sz w:val="24"/>
          <w:szCs w:val="24"/>
        </w:rPr>
      </w:pPr>
    </w:p>
    <w:p w:rsidR="00262611" w:rsidRDefault="00262611" w:rsidP="0045521E">
      <w:pPr>
        <w:jc w:val="center"/>
        <w:rPr>
          <w:b/>
          <w:sz w:val="24"/>
          <w:szCs w:val="24"/>
        </w:rPr>
      </w:pPr>
    </w:p>
    <w:p w:rsidR="00262611" w:rsidRDefault="00262611" w:rsidP="0045521E">
      <w:pPr>
        <w:jc w:val="center"/>
        <w:rPr>
          <w:b/>
          <w:sz w:val="24"/>
          <w:szCs w:val="24"/>
        </w:rPr>
      </w:pPr>
    </w:p>
    <w:p w:rsidR="000F3954" w:rsidRPr="00C47203" w:rsidRDefault="000F3954" w:rsidP="0045521E">
      <w:pPr>
        <w:jc w:val="center"/>
        <w:rPr>
          <w:sz w:val="24"/>
          <w:szCs w:val="24"/>
        </w:rPr>
      </w:pPr>
      <w:r w:rsidRPr="00C47203">
        <w:rPr>
          <w:b/>
          <w:sz w:val="24"/>
          <w:szCs w:val="24"/>
        </w:rPr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3060"/>
        <w:gridCol w:w="399"/>
        <w:gridCol w:w="2211"/>
        <w:gridCol w:w="1505"/>
        <w:gridCol w:w="2230"/>
      </w:tblGrid>
      <w:tr w:rsidR="000F3954" w:rsidRPr="00C47203" w:rsidTr="0045521E">
        <w:tc>
          <w:tcPr>
            <w:tcW w:w="3652" w:type="dxa"/>
            <w:gridSpan w:val="2"/>
            <w:hideMark/>
          </w:tcPr>
          <w:p w:rsidR="000F3954" w:rsidRPr="00C47203" w:rsidRDefault="000F3954" w:rsidP="004552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C47203">
              <w:rPr>
                <w:rFonts w:eastAsia="Calibri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954" w:rsidRPr="007E63EF" w:rsidRDefault="009A5C9D" w:rsidP="0045521E">
            <w:pPr>
              <w:spacing w:before="120"/>
              <w:rPr>
                <w:i/>
                <w:sz w:val="24"/>
                <w:szCs w:val="24"/>
              </w:rPr>
            </w:pPr>
            <w:r w:rsidRPr="00855722">
              <w:rPr>
                <w:i/>
                <w:sz w:val="24"/>
                <w:szCs w:val="24"/>
              </w:rPr>
              <w:t xml:space="preserve">для </w:t>
            </w:r>
            <w:r w:rsidR="00C43507">
              <w:rPr>
                <w:i/>
                <w:sz w:val="24"/>
                <w:szCs w:val="24"/>
              </w:rPr>
              <w:t>диспетчера</w:t>
            </w:r>
            <w:r w:rsidR="0045521E">
              <w:rPr>
                <w:i/>
                <w:sz w:val="24"/>
                <w:szCs w:val="24"/>
              </w:rPr>
              <w:t xml:space="preserve"> автомобильного транспорта</w:t>
            </w:r>
          </w:p>
        </w:tc>
      </w:tr>
      <w:tr w:rsidR="000F3954" w:rsidRPr="00C47203" w:rsidTr="0045521E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954" w:rsidRPr="00C47203" w:rsidRDefault="000F3954" w:rsidP="004552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3954" w:rsidRPr="00C47203" w:rsidTr="0045521E">
        <w:tc>
          <w:tcPr>
            <w:tcW w:w="9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954" w:rsidRPr="00C47203" w:rsidRDefault="000F3954" w:rsidP="0045521E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C47203">
              <w:rPr>
                <w:rFonts w:eastAsia="Calibri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1" w:rsidRPr="00B30A33" w:rsidRDefault="005E7021" w:rsidP="0045521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br w:type="page"/>
            </w:r>
            <w:r w:rsidR="000F3954" w:rsidRPr="00B30A33">
              <w:rPr>
                <w:sz w:val="24"/>
              </w:rPr>
              <w:t xml:space="preserve"> </w:t>
            </w:r>
            <w:r w:rsidRPr="00B30A33">
              <w:rPr>
                <w:sz w:val="24"/>
              </w:rPr>
              <w:t xml:space="preserve">№ </w:t>
            </w:r>
            <w:proofErr w:type="gramStart"/>
            <w:r w:rsidRPr="00B30A33">
              <w:rPr>
                <w:sz w:val="24"/>
              </w:rPr>
              <w:t>п</w:t>
            </w:r>
            <w:proofErr w:type="gramEnd"/>
            <w:r w:rsidRPr="00B30A33">
              <w:rPr>
                <w:sz w:val="24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1" w:rsidRPr="00B30A33" w:rsidRDefault="005E7021" w:rsidP="0045521E">
            <w:pPr>
              <w:ind w:left="-28"/>
              <w:jc w:val="center"/>
              <w:rPr>
                <w:sz w:val="24"/>
              </w:rPr>
            </w:pPr>
            <w:r w:rsidRPr="00B30A33">
              <w:rPr>
                <w:sz w:val="24"/>
              </w:rPr>
              <w:t>Ф.И.О.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1" w:rsidRPr="00B30A33" w:rsidRDefault="005E7021" w:rsidP="0045521E">
            <w:pPr>
              <w:jc w:val="center"/>
              <w:rPr>
                <w:sz w:val="24"/>
              </w:rPr>
            </w:pPr>
            <w:r w:rsidRPr="00B30A33">
              <w:rPr>
                <w:sz w:val="24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1" w:rsidRPr="00B30A33" w:rsidRDefault="005E7021" w:rsidP="0045521E">
            <w:pPr>
              <w:jc w:val="center"/>
              <w:rPr>
                <w:sz w:val="24"/>
              </w:rPr>
            </w:pPr>
            <w:r w:rsidRPr="00B30A33">
              <w:rPr>
                <w:sz w:val="24"/>
              </w:rPr>
              <w:t>Дата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1" w:rsidRPr="00B30A33" w:rsidRDefault="005E7021" w:rsidP="0045521E">
            <w:pPr>
              <w:jc w:val="center"/>
              <w:rPr>
                <w:sz w:val="24"/>
              </w:rPr>
            </w:pPr>
            <w:r w:rsidRPr="00B30A33">
              <w:rPr>
                <w:sz w:val="24"/>
              </w:rPr>
              <w:t>Подпись</w:t>
            </w: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5E7021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1" w:rsidRPr="00B30A33" w:rsidRDefault="005E7021" w:rsidP="0045521E">
            <w:pPr>
              <w:spacing w:before="80" w:after="80"/>
              <w:rPr>
                <w:sz w:val="24"/>
              </w:rPr>
            </w:pPr>
          </w:p>
        </w:tc>
      </w:tr>
      <w:tr w:rsidR="0045521E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</w:tr>
      <w:tr w:rsidR="0045521E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</w:tr>
      <w:tr w:rsidR="0045521E" w:rsidRPr="00B30A33" w:rsidTr="0045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pStyle w:val="ad"/>
              <w:numPr>
                <w:ilvl w:val="0"/>
                <w:numId w:val="2"/>
              </w:numPr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1E" w:rsidRPr="00B30A33" w:rsidRDefault="0045521E" w:rsidP="0045521E">
            <w:pPr>
              <w:spacing w:before="80" w:after="80"/>
              <w:rPr>
                <w:sz w:val="24"/>
              </w:rPr>
            </w:pPr>
          </w:p>
        </w:tc>
      </w:tr>
    </w:tbl>
    <w:p w:rsidR="00AB0C6E" w:rsidRDefault="00AB0C6E" w:rsidP="0045521E">
      <w:pPr>
        <w:jc w:val="center"/>
        <w:rPr>
          <w:sz w:val="24"/>
          <w:szCs w:val="24"/>
        </w:rPr>
      </w:pPr>
    </w:p>
    <w:sectPr w:rsidR="00AB0C6E" w:rsidSect="0045521E">
      <w:footerReference w:type="even" r:id="rId8"/>
      <w:pgSz w:w="11907" w:h="16840" w:code="9"/>
      <w:pgMar w:top="1134" w:right="708" w:bottom="113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BB" w:rsidRDefault="00B10FBB">
      <w:r>
        <w:separator/>
      </w:r>
    </w:p>
  </w:endnote>
  <w:endnote w:type="continuationSeparator" w:id="0">
    <w:p w:rsidR="00B10FBB" w:rsidRDefault="00B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84" w:rsidRDefault="00C856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85684" w:rsidRDefault="00C856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BB" w:rsidRDefault="00B10FBB">
      <w:r>
        <w:separator/>
      </w:r>
    </w:p>
  </w:footnote>
  <w:footnote w:type="continuationSeparator" w:id="0">
    <w:p w:rsidR="00B10FBB" w:rsidRDefault="00B1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4F"/>
    <w:multiLevelType w:val="hybridMultilevel"/>
    <w:tmpl w:val="34447336"/>
    <w:lvl w:ilvl="0" w:tplc="8C0ACDF0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1AA7"/>
    <w:multiLevelType w:val="multilevel"/>
    <w:tmpl w:val="CE68E9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6885286"/>
    <w:multiLevelType w:val="hybridMultilevel"/>
    <w:tmpl w:val="5278590C"/>
    <w:lvl w:ilvl="0" w:tplc="D404263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F30"/>
    <w:multiLevelType w:val="hybridMultilevel"/>
    <w:tmpl w:val="044E9766"/>
    <w:lvl w:ilvl="0" w:tplc="D7A6883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40F"/>
    <w:multiLevelType w:val="hybridMultilevel"/>
    <w:tmpl w:val="9FA4075C"/>
    <w:lvl w:ilvl="0" w:tplc="62749654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E3572"/>
    <w:multiLevelType w:val="multilevel"/>
    <w:tmpl w:val="2B6C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7DF0896"/>
    <w:multiLevelType w:val="hybridMultilevel"/>
    <w:tmpl w:val="4AA85E3C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5F2A1D"/>
    <w:multiLevelType w:val="hybridMultilevel"/>
    <w:tmpl w:val="9EF46E8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E4A3F"/>
    <w:multiLevelType w:val="hybridMultilevel"/>
    <w:tmpl w:val="2382925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3E6"/>
    <w:multiLevelType w:val="hybridMultilevel"/>
    <w:tmpl w:val="36305696"/>
    <w:lvl w:ilvl="0" w:tplc="46C0B46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4229"/>
    <w:multiLevelType w:val="hybridMultilevel"/>
    <w:tmpl w:val="BA6AF3D0"/>
    <w:lvl w:ilvl="0" w:tplc="A5542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E6199E"/>
    <w:multiLevelType w:val="multilevel"/>
    <w:tmpl w:val="0E30BE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7469FA"/>
    <w:multiLevelType w:val="hybridMultilevel"/>
    <w:tmpl w:val="C6BE00C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7264E"/>
    <w:multiLevelType w:val="hybridMultilevel"/>
    <w:tmpl w:val="F40AD7B6"/>
    <w:lvl w:ilvl="0" w:tplc="952887C4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A57B88"/>
    <w:multiLevelType w:val="hybridMultilevel"/>
    <w:tmpl w:val="CC70A16C"/>
    <w:lvl w:ilvl="0" w:tplc="CC5C6DA8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333F77"/>
    <w:multiLevelType w:val="hybridMultilevel"/>
    <w:tmpl w:val="08F877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B23C9"/>
    <w:multiLevelType w:val="multilevel"/>
    <w:tmpl w:val="245A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1AF34C4"/>
    <w:multiLevelType w:val="hybridMultilevel"/>
    <w:tmpl w:val="F17E24E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C05CC"/>
    <w:multiLevelType w:val="hybridMultilevel"/>
    <w:tmpl w:val="14BA8D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86464"/>
    <w:multiLevelType w:val="hybridMultilevel"/>
    <w:tmpl w:val="28A0EF3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45C"/>
    <w:multiLevelType w:val="hybridMultilevel"/>
    <w:tmpl w:val="14486E42"/>
    <w:lvl w:ilvl="0" w:tplc="FE8CFB0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A5C90"/>
    <w:multiLevelType w:val="hybridMultilevel"/>
    <w:tmpl w:val="8C80903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302D8"/>
    <w:multiLevelType w:val="hybridMultilevel"/>
    <w:tmpl w:val="4A8E99F8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C408D4"/>
    <w:multiLevelType w:val="multilevel"/>
    <w:tmpl w:val="CE68E9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4AE87A7F"/>
    <w:multiLevelType w:val="hybridMultilevel"/>
    <w:tmpl w:val="38CA0CC2"/>
    <w:lvl w:ilvl="0" w:tplc="AAD41FE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57291"/>
    <w:multiLevelType w:val="hybridMultilevel"/>
    <w:tmpl w:val="3ADED6F8"/>
    <w:lvl w:ilvl="0" w:tplc="E08287B4">
      <w:start w:val="1"/>
      <w:numFmt w:val="decimal"/>
      <w:lvlText w:val="2.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571A"/>
    <w:multiLevelType w:val="hybridMultilevel"/>
    <w:tmpl w:val="A6EE82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3680A"/>
    <w:multiLevelType w:val="hybridMultilevel"/>
    <w:tmpl w:val="0FC44776"/>
    <w:lvl w:ilvl="0" w:tplc="A5542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D2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FC2A1F"/>
    <w:multiLevelType w:val="multilevel"/>
    <w:tmpl w:val="33B881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FF1B18"/>
    <w:multiLevelType w:val="hybridMultilevel"/>
    <w:tmpl w:val="3E6C0AE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56FA6"/>
    <w:multiLevelType w:val="multilevel"/>
    <w:tmpl w:val="3D8C7F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AE5B6B"/>
    <w:multiLevelType w:val="multilevel"/>
    <w:tmpl w:val="CE68E9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74455024"/>
    <w:multiLevelType w:val="hybridMultilevel"/>
    <w:tmpl w:val="572A3E62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B80FE3"/>
    <w:multiLevelType w:val="hybridMultilevel"/>
    <w:tmpl w:val="7384029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3094"/>
    <w:multiLevelType w:val="multilevel"/>
    <w:tmpl w:val="44F01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9C83CDF"/>
    <w:multiLevelType w:val="hybridMultilevel"/>
    <w:tmpl w:val="14847B6C"/>
    <w:lvl w:ilvl="0" w:tplc="774E5D1C">
      <w:start w:val="1"/>
      <w:numFmt w:val="decimal"/>
      <w:lvlText w:val="3.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27"/>
  </w:num>
  <w:num w:numId="3">
    <w:abstractNumId w:val="36"/>
  </w:num>
  <w:num w:numId="4">
    <w:abstractNumId w:val="30"/>
  </w:num>
  <w:num w:numId="5">
    <w:abstractNumId w:val="25"/>
  </w:num>
  <w:num w:numId="6">
    <w:abstractNumId w:val="0"/>
  </w:num>
  <w:num w:numId="7">
    <w:abstractNumId w:val="32"/>
  </w:num>
  <w:num w:numId="8">
    <w:abstractNumId w:val="10"/>
  </w:num>
  <w:num w:numId="9">
    <w:abstractNumId w:val="37"/>
  </w:num>
  <w:num w:numId="10">
    <w:abstractNumId w:val="28"/>
  </w:num>
  <w:num w:numId="11">
    <w:abstractNumId w:val="5"/>
  </w:num>
  <w:num w:numId="12">
    <w:abstractNumId w:val="11"/>
  </w:num>
  <w:num w:numId="13">
    <w:abstractNumId w:val="26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8"/>
  </w:num>
  <w:num w:numId="19">
    <w:abstractNumId w:val="17"/>
  </w:num>
  <w:num w:numId="20">
    <w:abstractNumId w:val="35"/>
  </w:num>
  <w:num w:numId="21">
    <w:abstractNumId w:val="24"/>
  </w:num>
  <w:num w:numId="22">
    <w:abstractNumId w:val="3"/>
  </w:num>
  <w:num w:numId="23">
    <w:abstractNumId w:val="19"/>
  </w:num>
  <w:num w:numId="24">
    <w:abstractNumId w:val="18"/>
  </w:num>
  <w:num w:numId="25">
    <w:abstractNumId w:val="7"/>
  </w:num>
  <w:num w:numId="26">
    <w:abstractNumId w:val="12"/>
  </w:num>
  <w:num w:numId="27">
    <w:abstractNumId w:val="31"/>
  </w:num>
  <w:num w:numId="28">
    <w:abstractNumId w:val="2"/>
  </w:num>
  <w:num w:numId="29">
    <w:abstractNumId w:val="9"/>
  </w:num>
  <w:num w:numId="30">
    <w:abstractNumId w:val="34"/>
  </w:num>
  <w:num w:numId="31">
    <w:abstractNumId w:val="6"/>
  </w:num>
  <w:num w:numId="32">
    <w:abstractNumId w:val="14"/>
  </w:num>
  <w:num w:numId="33">
    <w:abstractNumId w:val="29"/>
  </w:num>
  <w:num w:numId="34">
    <w:abstractNumId w:val="33"/>
  </w:num>
  <w:num w:numId="35">
    <w:abstractNumId w:val="23"/>
  </w:num>
  <w:num w:numId="36">
    <w:abstractNumId w:val="1"/>
  </w:num>
  <w:num w:numId="37">
    <w:abstractNumId w:val="22"/>
  </w:num>
  <w:num w:numId="3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7"/>
    <w:rsid w:val="00035119"/>
    <w:rsid w:val="00041A89"/>
    <w:rsid w:val="00047847"/>
    <w:rsid w:val="0008360B"/>
    <w:rsid w:val="000866F6"/>
    <w:rsid w:val="000944E0"/>
    <w:rsid w:val="00095A85"/>
    <w:rsid w:val="000A6932"/>
    <w:rsid w:val="000B5716"/>
    <w:rsid w:val="000B5B28"/>
    <w:rsid w:val="000D2BD8"/>
    <w:rsid w:val="000E46AA"/>
    <w:rsid w:val="000F3954"/>
    <w:rsid w:val="00102B37"/>
    <w:rsid w:val="00106F1E"/>
    <w:rsid w:val="001311BA"/>
    <w:rsid w:val="001468F5"/>
    <w:rsid w:val="0015133A"/>
    <w:rsid w:val="00161743"/>
    <w:rsid w:val="00166FA9"/>
    <w:rsid w:val="00185BDD"/>
    <w:rsid w:val="001A1EBA"/>
    <w:rsid w:val="001D3BE8"/>
    <w:rsid w:val="001E6C13"/>
    <w:rsid w:val="002343B6"/>
    <w:rsid w:val="00235C29"/>
    <w:rsid w:val="00262611"/>
    <w:rsid w:val="00284042"/>
    <w:rsid w:val="00285C0F"/>
    <w:rsid w:val="002C1504"/>
    <w:rsid w:val="002D1BD5"/>
    <w:rsid w:val="003159D7"/>
    <w:rsid w:val="00320A34"/>
    <w:rsid w:val="0032168E"/>
    <w:rsid w:val="00354069"/>
    <w:rsid w:val="00364F60"/>
    <w:rsid w:val="00414725"/>
    <w:rsid w:val="00417873"/>
    <w:rsid w:val="004208D3"/>
    <w:rsid w:val="0043375F"/>
    <w:rsid w:val="00442BBC"/>
    <w:rsid w:val="00445810"/>
    <w:rsid w:val="0045521E"/>
    <w:rsid w:val="00460CB7"/>
    <w:rsid w:val="0049059A"/>
    <w:rsid w:val="004928E3"/>
    <w:rsid w:val="004C3A8C"/>
    <w:rsid w:val="004D2287"/>
    <w:rsid w:val="004D67BF"/>
    <w:rsid w:val="005037DA"/>
    <w:rsid w:val="00524C2A"/>
    <w:rsid w:val="00531FD7"/>
    <w:rsid w:val="00547B1C"/>
    <w:rsid w:val="005802F1"/>
    <w:rsid w:val="005842C3"/>
    <w:rsid w:val="005A2ADF"/>
    <w:rsid w:val="005D3C80"/>
    <w:rsid w:val="005D691B"/>
    <w:rsid w:val="005D6F1B"/>
    <w:rsid w:val="005E2549"/>
    <w:rsid w:val="005E3567"/>
    <w:rsid w:val="005E7021"/>
    <w:rsid w:val="006044AC"/>
    <w:rsid w:val="00606695"/>
    <w:rsid w:val="0061511D"/>
    <w:rsid w:val="006465EF"/>
    <w:rsid w:val="00692DFE"/>
    <w:rsid w:val="006E1AC6"/>
    <w:rsid w:val="007022E7"/>
    <w:rsid w:val="007146CB"/>
    <w:rsid w:val="007239F2"/>
    <w:rsid w:val="00760BC5"/>
    <w:rsid w:val="007841FC"/>
    <w:rsid w:val="007D6FCF"/>
    <w:rsid w:val="007F1B94"/>
    <w:rsid w:val="00801D3C"/>
    <w:rsid w:val="00802686"/>
    <w:rsid w:val="00810BF0"/>
    <w:rsid w:val="00837BDB"/>
    <w:rsid w:val="0086727C"/>
    <w:rsid w:val="00877889"/>
    <w:rsid w:val="008B3AC4"/>
    <w:rsid w:val="008B4AFC"/>
    <w:rsid w:val="008D29E0"/>
    <w:rsid w:val="008D7A2D"/>
    <w:rsid w:val="008E5D1C"/>
    <w:rsid w:val="00901035"/>
    <w:rsid w:val="009013BC"/>
    <w:rsid w:val="00917654"/>
    <w:rsid w:val="0096248D"/>
    <w:rsid w:val="009A0936"/>
    <w:rsid w:val="009A42DC"/>
    <w:rsid w:val="009A5C9D"/>
    <w:rsid w:val="009A5EC3"/>
    <w:rsid w:val="009D3C75"/>
    <w:rsid w:val="009D4CFC"/>
    <w:rsid w:val="009F5B9B"/>
    <w:rsid w:val="00A04CB3"/>
    <w:rsid w:val="00A35732"/>
    <w:rsid w:val="00A866C2"/>
    <w:rsid w:val="00AA0425"/>
    <w:rsid w:val="00AB0C6E"/>
    <w:rsid w:val="00AB48B1"/>
    <w:rsid w:val="00AB5E5F"/>
    <w:rsid w:val="00AD631E"/>
    <w:rsid w:val="00B014FC"/>
    <w:rsid w:val="00B10FBB"/>
    <w:rsid w:val="00B11A24"/>
    <w:rsid w:val="00B16FC2"/>
    <w:rsid w:val="00B23098"/>
    <w:rsid w:val="00B25915"/>
    <w:rsid w:val="00B504EB"/>
    <w:rsid w:val="00B528CB"/>
    <w:rsid w:val="00B56C52"/>
    <w:rsid w:val="00B6380C"/>
    <w:rsid w:val="00B649BC"/>
    <w:rsid w:val="00BD4B89"/>
    <w:rsid w:val="00BF415C"/>
    <w:rsid w:val="00C32516"/>
    <w:rsid w:val="00C43507"/>
    <w:rsid w:val="00C51867"/>
    <w:rsid w:val="00C75541"/>
    <w:rsid w:val="00C8222F"/>
    <w:rsid w:val="00C85684"/>
    <w:rsid w:val="00C93D0E"/>
    <w:rsid w:val="00C96BAE"/>
    <w:rsid w:val="00CF102D"/>
    <w:rsid w:val="00D00165"/>
    <w:rsid w:val="00D17427"/>
    <w:rsid w:val="00D26794"/>
    <w:rsid w:val="00D2767A"/>
    <w:rsid w:val="00D351CC"/>
    <w:rsid w:val="00D40BA3"/>
    <w:rsid w:val="00D513B7"/>
    <w:rsid w:val="00D62914"/>
    <w:rsid w:val="00D63D30"/>
    <w:rsid w:val="00DA753A"/>
    <w:rsid w:val="00DB04A2"/>
    <w:rsid w:val="00DE597F"/>
    <w:rsid w:val="00E043F9"/>
    <w:rsid w:val="00E16A53"/>
    <w:rsid w:val="00E32283"/>
    <w:rsid w:val="00E32D18"/>
    <w:rsid w:val="00E34076"/>
    <w:rsid w:val="00E424FE"/>
    <w:rsid w:val="00E56800"/>
    <w:rsid w:val="00EA0210"/>
    <w:rsid w:val="00EA6054"/>
    <w:rsid w:val="00EA74E5"/>
    <w:rsid w:val="00EC107C"/>
    <w:rsid w:val="00F1012D"/>
    <w:rsid w:val="00F461A0"/>
    <w:rsid w:val="00FA2680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8D3"/>
  </w:style>
  <w:style w:type="paragraph" w:styleId="1">
    <w:name w:val="heading 1"/>
    <w:basedOn w:val="a"/>
    <w:next w:val="a"/>
    <w:qFormat/>
    <w:rsid w:val="004208D3"/>
    <w:pPr>
      <w:keepNext/>
      <w:ind w:left="426" w:hanging="42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208D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08D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61511D"/>
    <w:pPr>
      <w:keepNext/>
      <w:spacing w:before="120"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2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08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08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208D3"/>
    <w:pPr>
      <w:jc w:val="both"/>
    </w:pPr>
    <w:rPr>
      <w:sz w:val="24"/>
    </w:rPr>
  </w:style>
  <w:style w:type="paragraph" w:styleId="a3">
    <w:name w:val="Body Text"/>
    <w:basedOn w:val="a"/>
    <w:link w:val="a4"/>
    <w:rsid w:val="004208D3"/>
    <w:rPr>
      <w:sz w:val="24"/>
    </w:rPr>
  </w:style>
  <w:style w:type="paragraph" w:customStyle="1" w:styleId="10">
    <w:name w:val="Обычный1"/>
    <w:rsid w:val="004208D3"/>
    <w:pPr>
      <w:widowControl w:val="0"/>
      <w:spacing w:line="300" w:lineRule="auto"/>
      <w:ind w:left="200"/>
    </w:pPr>
    <w:rPr>
      <w:snapToGrid w:val="0"/>
      <w:sz w:val="28"/>
    </w:rPr>
  </w:style>
  <w:style w:type="paragraph" w:styleId="a5">
    <w:name w:val="footer"/>
    <w:basedOn w:val="a"/>
    <w:rsid w:val="004208D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08D3"/>
  </w:style>
  <w:style w:type="paragraph" w:styleId="20">
    <w:name w:val="Body Text 2"/>
    <w:basedOn w:val="a"/>
    <w:rsid w:val="004208D3"/>
    <w:rPr>
      <w:b/>
      <w:sz w:val="24"/>
    </w:rPr>
  </w:style>
  <w:style w:type="paragraph" w:styleId="a7">
    <w:name w:val="Body Text Indent"/>
    <w:basedOn w:val="a"/>
    <w:rsid w:val="004208D3"/>
    <w:pPr>
      <w:ind w:right="-1" w:firstLine="720"/>
    </w:pPr>
    <w:rPr>
      <w:sz w:val="24"/>
    </w:rPr>
  </w:style>
  <w:style w:type="paragraph" w:styleId="a8">
    <w:name w:val="Title"/>
    <w:basedOn w:val="a"/>
    <w:qFormat/>
    <w:rsid w:val="004208D3"/>
    <w:pPr>
      <w:jc w:val="center"/>
    </w:pPr>
    <w:rPr>
      <w:rFonts w:ascii="Arial Narrow" w:hAnsi="Arial Narrow"/>
      <w:sz w:val="24"/>
    </w:rPr>
  </w:style>
  <w:style w:type="paragraph" w:styleId="21">
    <w:name w:val="Body Text Indent 2"/>
    <w:basedOn w:val="a"/>
    <w:link w:val="22"/>
    <w:rsid w:val="00EA6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6054"/>
  </w:style>
  <w:style w:type="paragraph" w:customStyle="1" w:styleId="11">
    <w:name w:val="Îáû÷íûé1"/>
    <w:rsid w:val="00D2679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rmal">
    <w:name w:val="ConsNormal"/>
    <w:rsid w:val="00D26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D4B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D4B89"/>
    <w:rPr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E043F9"/>
    <w:rPr>
      <w:rFonts w:ascii="Arial" w:eastAsia="Calibri" w:hAnsi="Arial" w:cs="Arial"/>
      <w:lang w:eastAsia="en-US"/>
    </w:rPr>
  </w:style>
  <w:style w:type="character" w:customStyle="1" w:styleId="aa">
    <w:name w:val="Текст Знак"/>
    <w:link w:val="a9"/>
    <w:uiPriority w:val="99"/>
    <w:rsid w:val="00E043F9"/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E043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E0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43F9"/>
  </w:style>
  <w:style w:type="paragraph" w:styleId="ad">
    <w:name w:val="List Paragraph"/>
    <w:basedOn w:val="a"/>
    <w:uiPriority w:val="34"/>
    <w:qFormat/>
    <w:rsid w:val="005E7021"/>
    <w:pPr>
      <w:overflowPunct w:val="0"/>
      <w:autoSpaceDE w:val="0"/>
      <w:autoSpaceDN w:val="0"/>
      <w:adjustRightInd w:val="0"/>
      <w:ind w:left="720"/>
      <w:contextualSpacing/>
    </w:pPr>
    <w:rPr>
      <w:color w:val="000000"/>
      <w:sz w:val="28"/>
    </w:rPr>
  </w:style>
  <w:style w:type="character" w:customStyle="1" w:styleId="apple-converted-space">
    <w:name w:val="apple-converted-space"/>
    <w:rsid w:val="000F3954"/>
  </w:style>
  <w:style w:type="character" w:customStyle="1" w:styleId="40">
    <w:name w:val="Заголовок 4 Знак"/>
    <w:link w:val="4"/>
    <w:rsid w:val="0061511D"/>
    <w:rPr>
      <w:sz w:val="24"/>
    </w:rPr>
  </w:style>
  <w:style w:type="paragraph" w:styleId="ae">
    <w:name w:val="List"/>
    <w:basedOn w:val="a"/>
    <w:rsid w:val="0061511D"/>
    <w:pPr>
      <w:ind w:left="283" w:hanging="283"/>
    </w:pPr>
  </w:style>
  <w:style w:type="paragraph" w:styleId="23">
    <w:name w:val="List 2"/>
    <w:basedOn w:val="a"/>
    <w:rsid w:val="0061511D"/>
    <w:pPr>
      <w:ind w:left="566" w:hanging="283"/>
    </w:pPr>
  </w:style>
  <w:style w:type="paragraph" w:customStyle="1" w:styleId="210">
    <w:name w:val="Основной текст 21"/>
    <w:basedOn w:val="a"/>
    <w:rsid w:val="0061511D"/>
    <w:pPr>
      <w:spacing w:after="120" w:line="360" w:lineRule="auto"/>
      <w:ind w:firstLine="624"/>
      <w:jc w:val="both"/>
    </w:pPr>
    <w:rPr>
      <w:sz w:val="24"/>
    </w:rPr>
  </w:style>
  <w:style w:type="paragraph" w:styleId="33">
    <w:name w:val="List Bullet 3"/>
    <w:basedOn w:val="a"/>
    <w:rsid w:val="0061511D"/>
    <w:pPr>
      <w:ind w:left="849" w:hanging="283"/>
    </w:pPr>
  </w:style>
  <w:style w:type="character" w:customStyle="1" w:styleId="a4">
    <w:name w:val="Основной текст Знак"/>
    <w:link w:val="a3"/>
    <w:rsid w:val="00DB04A2"/>
    <w:rPr>
      <w:sz w:val="24"/>
    </w:rPr>
  </w:style>
  <w:style w:type="paragraph" w:styleId="af">
    <w:name w:val="Normal (Web)"/>
    <w:basedOn w:val="a"/>
    <w:uiPriority w:val="99"/>
    <w:unhideWhenUsed/>
    <w:rsid w:val="00DB04A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unhideWhenUsed/>
    <w:rsid w:val="00FD7E83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FD7E8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8D3"/>
  </w:style>
  <w:style w:type="paragraph" w:styleId="1">
    <w:name w:val="heading 1"/>
    <w:basedOn w:val="a"/>
    <w:next w:val="a"/>
    <w:qFormat/>
    <w:rsid w:val="004208D3"/>
    <w:pPr>
      <w:keepNext/>
      <w:ind w:left="426" w:hanging="42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208D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08D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61511D"/>
    <w:pPr>
      <w:keepNext/>
      <w:spacing w:before="120"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2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08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08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208D3"/>
    <w:pPr>
      <w:jc w:val="both"/>
    </w:pPr>
    <w:rPr>
      <w:sz w:val="24"/>
    </w:rPr>
  </w:style>
  <w:style w:type="paragraph" w:styleId="a3">
    <w:name w:val="Body Text"/>
    <w:basedOn w:val="a"/>
    <w:link w:val="a4"/>
    <w:rsid w:val="004208D3"/>
    <w:rPr>
      <w:sz w:val="24"/>
    </w:rPr>
  </w:style>
  <w:style w:type="paragraph" w:customStyle="1" w:styleId="10">
    <w:name w:val="Обычный1"/>
    <w:rsid w:val="004208D3"/>
    <w:pPr>
      <w:widowControl w:val="0"/>
      <w:spacing w:line="300" w:lineRule="auto"/>
      <w:ind w:left="200"/>
    </w:pPr>
    <w:rPr>
      <w:snapToGrid w:val="0"/>
      <w:sz w:val="28"/>
    </w:rPr>
  </w:style>
  <w:style w:type="paragraph" w:styleId="a5">
    <w:name w:val="footer"/>
    <w:basedOn w:val="a"/>
    <w:rsid w:val="004208D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08D3"/>
  </w:style>
  <w:style w:type="paragraph" w:styleId="20">
    <w:name w:val="Body Text 2"/>
    <w:basedOn w:val="a"/>
    <w:rsid w:val="004208D3"/>
    <w:rPr>
      <w:b/>
      <w:sz w:val="24"/>
    </w:rPr>
  </w:style>
  <w:style w:type="paragraph" w:styleId="a7">
    <w:name w:val="Body Text Indent"/>
    <w:basedOn w:val="a"/>
    <w:rsid w:val="004208D3"/>
    <w:pPr>
      <w:ind w:right="-1" w:firstLine="720"/>
    </w:pPr>
    <w:rPr>
      <w:sz w:val="24"/>
    </w:rPr>
  </w:style>
  <w:style w:type="paragraph" w:styleId="a8">
    <w:name w:val="Title"/>
    <w:basedOn w:val="a"/>
    <w:qFormat/>
    <w:rsid w:val="004208D3"/>
    <w:pPr>
      <w:jc w:val="center"/>
    </w:pPr>
    <w:rPr>
      <w:rFonts w:ascii="Arial Narrow" w:hAnsi="Arial Narrow"/>
      <w:sz w:val="24"/>
    </w:rPr>
  </w:style>
  <w:style w:type="paragraph" w:styleId="21">
    <w:name w:val="Body Text Indent 2"/>
    <w:basedOn w:val="a"/>
    <w:link w:val="22"/>
    <w:rsid w:val="00EA6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6054"/>
  </w:style>
  <w:style w:type="paragraph" w:customStyle="1" w:styleId="11">
    <w:name w:val="Îáû÷íûé1"/>
    <w:rsid w:val="00D2679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rmal">
    <w:name w:val="ConsNormal"/>
    <w:rsid w:val="00D26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D4B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D4B89"/>
    <w:rPr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E043F9"/>
    <w:rPr>
      <w:rFonts w:ascii="Arial" w:eastAsia="Calibri" w:hAnsi="Arial" w:cs="Arial"/>
      <w:lang w:eastAsia="en-US"/>
    </w:rPr>
  </w:style>
  <w:style w:type="character" w:customStyle="1" w:styleId="aa">
    <w:name w:val="Текст Знак"/>
    <w:link w:val="a9"/>
    <w:uiPriority w:val="99"/>
    <w:rsid w:val="00E043F9"/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E043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E0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43F9"/>
  </w:style>
  <w:style w:type="paragraph" w:styleId="ad">
    <w:name w:val="List Paragraph"/>
    <w:basedOn w:val="a"/>
    <w:uiPriority w:val="34"/>
    <w:qFormat/>
    <w:rsid w:val="005E7021"/>
    <w:pPr>
      <w:overflowPunct w:val="0"/>
      <w:autoSpaceDE w:val="0"/>
      <w:autoSpaceDN w:val="0"/>
      <w:adjustRightInd w:val="0"/>
      <w:ind w:left="720"/>
      <w:contextualSpacing/>
    </w:pPr>
    <w:rPr>
      <w:color w:val="000000"/>
      <w:sz w:val="28"/>
    </w:rPr>
  </w:style>
  <w:style w:type="character" w:customStyle="1" w:styleId="apple-converted-space">
    <w:name w:val="apple-converted-space"/>
    <w:rsid w:val="000F3954"/>
  </w:style>
  <w:style w:type="character" w:customStyle="1" w:styleId="40">
    <w:name w:val="Заголовок 4 Знак"/>
    <w:link w:val="4"/>
    <w:rsid w:val="0061511D"/>
    <w:rPr>
      <w:sz w:val="24"/>
    </w:rPr>
  </w:style>
  <w:style w:type="paragraph" w:styleId="ae">
    <w:name w:val="List"/>
    <w:basedOn w:val="a"/>
    <w:rsid w:val="0061511D"/>
    <w:pPr>
      <w:ind w:left="283" w:hanging="283"/>
    </w:pPr>
  </w:style>
  <w:style w:type="paragraph" w:styleId="23">
    <w:name w:val="List 2"/>
    <w:basedOn w:val="a"/>
    <w:rsid w:val="0061511D"/>
    <w:pPr>
      <w:ind w:left="566" w:hanging="283"/>
    </w:pPr>
  </w:style>
  <w:style w:type="paragraph" w:customStyle="1" w:styleId="210">
    <w:name w:val="Основной текст 21"/>
    <w:basedOn w:val="a"/>
    <w:rsid w:val="0061511D"/>
    <w:pPr>
      <w:spacing w:after="120" w:line="360" w:lineRule="auto"/>
      <w:ind w:firstLine="624"/>
      <w:jc w:val="both"/>
    </w:pPr>
    <w:rPr>
      <w:sz w:val="24"/>
    </w:rPr>
  </w:style>
  <w:style w:type="paragraph" w:styleId="33">
    <w:name w:val="List Bullet 3"/>
    <w:basedOn w:val="a"/>
    <w:rsid w:val="0061511D"/>
    <w:pPr>
      <w:ind w:left="849" w:hanging="283"/>
    </w:pPr>
  </w:style>
  <w:style w:type="character" w:customStyle="1" w:styleId="a4">
    <w:name w:val="Основной текст Знак"/>
    <w:link w:val="a3"/>
    <w:rsid w:val="00DB04A2"/>
    <w:rPr>
      <w:sz w:val="24"/>
    </w:rPr>
  </w:style>
  <w:style w:type="paragraph" w:styleId="af">
    <w:name w:val="Normal (Web)"/>
    <w:basedOn w:val="a"/>
    <w:uiPriority w:val="99"/>
    <w:unhideWhenUsed/>
    <w:rsid w:val="00DB04A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unhideWhenUsed/>
    <w:rsid w:val="00FD7E83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FD7E8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Company>ООО "СИОТ ПРО"</Company>
  <LinksUpToDate>false</LinksUpToDate>
  <CharactersWithSpaces>12792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Антон Хабиров;Marina Khabirova</dc:creator>
  <cp:lastModifiedBy>Сергей</cp:lastModifiedBy>
  <cp:revision>3</cp:revision>
  <cp:lastPrinted>2012-04-23T15:01:00Z</cp:lastPrinted>
  <dcterms:created xsi:type="dcterms:W3CDTF">2019-04-17T10:07:00Z</dcterms:created>
  <dcterms:modified xsi:type="dcterms:W3CDTF">2019-04-18T04:40:00Z</dcterms:modified>
</cp:coreProperties>
</file>